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4A88A04B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0C0E8D">
        <w:rPr>
          <w:rFonts w:ascii="Arial Narrow" w:hAnsi="Arial Narrow" w:cs="Arial"/>
          <w:b/>
          <w:sz w:val="22"/>
          <w:szCs w:val="22"/>
        </w:rPr>
        <w:t>Сила внимания 3.0</w:t>
      </w:r>
      <w:r>
        <w:rPr>
          <w:rFonts w:ascii="Arial Narrow" w:hAnsi="Arial Narrow" w:cs="Arial"/>
          <w:b/>
          <w:sz w:val="22"/>
          <w:szCs w:val="22"/>
        </w:rPr>
        <w:t>»</w:t>
      </w:r>
      <w:r w:rsidR="000C0E8D">
        <w:rPr>
          <w:rFonts w:ascii="Arial Narrow" w:hAnsi="Arial Narrow" w:cs="Arial"/>
          <w:b/>
          <w:sz w:val="22"/>
          <w:szCs w:val="22"/>
        </w:rPr>
        <w:t xml:space="preserve"> 2025 года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аботку моих 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35120EF3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5" w:history="1">
        <w:r w:rsidR="000C0E8D" w:rsidRPr="00D318D5">
          <w:rPr>
            <w:rStyle w:val="ad"/>
            <w:rFonts w:ascii="Arial Narrow" w:hAnsi="Arial Narrow" w:cs="Arial"/>
            <w:sz w:val="22"/>
            <w:szCs w:val="22"/>
          </w:rPr>
          <w:t>www.</w:t>
        </w:r>
        <w:r w:rsidR="000C0E8D" w:rsidRPr="00D318D5">
          <w:rPr>
            <w:rStyle w:val="ad"/>
            <w:rFonts w:ascii="Arial Narrow" w:hAnsi="Arial Narrow" w:cs="Arial"/>
            <w:sz w:val="22"/>
            <w:szCs w:val="22"/>
          </w:rPr>
          <w:t>fondtimchenko.ru/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>Настоящее Согласие считается отозванным по истечении четырнадцати дней с даты получения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264B4631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</w:t>
      </w:r>
      <w:r w:rsidR="000C0E8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D0"/>
    <w:rsid w:val="000049EF"/>
    <w:rsid w:val="00044D60"/>
    <w:rsid w:val="000C0E8D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  <w15:chartTrackingRefBased/>
  <w15:docId w15:val="{0758EBE8-FF70-482D-84A1-5010C20E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0C0E8D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0C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timchen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Samoshkina</dc:creator>
  <cp:keywords/>
  <dc:description/>
  <cp:lastModifiedBy>Nadezhda Okhotnikova</cp:lastModifiedBy>
  <cp:revision>5</cp:revision>
  <dcterms:created xsi:type="dcterms:W3CDTF">2024-03-11T08:53:00Z</dcterms:created>
  <dcterms:modified xsi:type="dcterms:W3CDTF">2025-04-23T11:49:00Z</dcterms:modified>
</cp:coreProperties>
</file>